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F9" w:rsidRDefault="007113F9" w:rsidP="007113F9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pacing w:val="-6"/>
          <w:sz w:val="28"/>
          <w:szCs w:val="28"/>
        </w:rPr>
        <w:t>國立清華大學「</w:t>
      </w:r>
      <w:proofErr w:type="gramStart"/>
      <w:r>
        <w:rPr>
          <w:rFonts w:ascii="標楷體" w:eastAsia="標楷體" w:hAnsi="標楷體" w:hint="eastAsia"/>
          <w:b/>
          <w:bCs/>
          <w:spacing w:val="-6"/>
          <w:sz w:val="28"/>
          <w:szCs w:val="28"/>
        </w:rPr>
        <w:t>微感測</w:t>
      </w:r>
      <w:proofErr w:type="gramEnd"/>
      <w:r>
        <w:rPr>
          <w:rFonts w:ascii="標楷體" w:eastAsia="標楷體" w:hAnsi="標楷體" w:hint="eastAsia"/>
          <w:b/>
          <w:bCs/>
          <w:spacing w:val="-6"/>
          <w:sz w:val="28"/>
          <w:szCs w:val="28"/>
        </w:rPr>
        <w:t>器與致動器產學聯盟</w:t>
      </w:r>
      <w:r>
        <w:rPr>
          <w:rFonts w:ascii="標楷體" w:eastAsia="標楷體" w:hAnsi="標楷體" w:hint="eastAsia"/>
          <w:spacing w:val="-6"/>
          <w:sz w:val="28"/>
          <w:szCs w:val="28"/>
        </w:rPr>
        <w:t>」活動公告</w:t>
      </w:r>
    </w:p>
    <w:p w:rsidR="007113F9" w:rsidRDefault="007113F9" w:rsidP="007113F9">
      <w:pPr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7113F9" w:rsidRDefault="007113F9" w:rsidP="007113F9">
      <w:pPr>
        <w:numPr>
          <w:ilvl w:val="0"/>
          <w:numId w:val="1"/>
        </w:numPr>
        <w:spacing w:line="360" w:lineRule="atLeast"/>
        <w:rPr>
          <w:rFonts w:ascii="標楷體" w:eastAsia="標楷體" w:hAnsi="標楷體" w:hint="eastAsia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時間：2018年1月2日 (星期二)  10:00-17:00</w:t>
      </w:r>
    </w:p>
    <w:p w:rsidR="007113F9" w:rsidRDefault="007113F9" w:rsidP="007113F9">
      <w:pPr>
        <w:numPr>
          <w:ilvl w:val="0"/>
          <w:numId w:val="1"/>
        </w:numPr>
        <w:spacing w:line="360" w:lineRule="atLeast"/>
        <w:rPr>
          <w:rFonts w:ascii="標楷體" w:eastAsia="標楷體" w:hAnsi="標楷體" w:hint="eastAsia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地點：國立清華大學動力機械工程學系 工程</w:t>
      </w:r>
      <w:proofErr w:type="gramStart"/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館(教室另行通知)</w:t>
      </w:r>
    </w:p>
    <w:p w:rsidR="007113F9" w:rsidRDefault="007113F9" w:rsidP="007113F9">
      <w:pPr>
        <w:rPr>
          <w:rFonts w:ascii="標楷體" w:eastAsia="標楷體" w:hAnsi="標楷體" w:hint="eastAsia"/>
          <w:sz w:val="28"/>
          <w:szCs w:val="28"/>
        </w:rPr>
      </w:pPr>
    </w:p>
    <w:p w:rsidR="007113F9" w:rsidRDefault="007113F9" w:rsidP="007113F9">
      <w:pPr>
        <w:numPr>
          <w:ilvl w:val="0"/>
          <w:numId w:val="2"/>
        </w:numPr>
        <w:spacing w:line="360" w:lineRule="atLeast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宗旨</w:t>
      </w:r>
    </w:p>
    <w:p w:rsidR="007113F9" w:rsidRDefault="007113F9" w:rsidP="007113F9">
      <w:pPr>
        <w:ind w:leftChars="95" w:left="228"/>
        <w:jc w:val="both"/>
        <w:rPr>
          <w:rFonts w:ascii="標楷體" w:eastAsia="標楷體" w:hAnsi="標楷體" w:hint="eastAsia"/>
          <w:spacing w:val="-6"/>
          <w:sz w:val="28"/>
          <w:szCs w:val="28"/>
        </w:rPr>
      </w:pPr>
      <w:r>
        <w:rPr>
          <w:rFonts w:ascii="標楷體" w:eastAsia="標楷體" w:hAnsi="標楷體" w:hint="eastAsia"/>
          <w:spacing w:val="-6"/>
          <w:sz w:val="28"/>
          <w:szCs w:val="28"/>
        </w:rPr>
        <w:t>2013 年多位</w:t>
      </w:r>
      <w:proofErr w:type="gramStart"/>
      <w:r>
        <w:rPr>
          <w:rFonts w:ascii="標楷體" w:eastAsia="標楷體" w:hAnsi="標楷體" w:hint="eastAsia"/>
          <w:spacing w:val="-6"/>
          <w:sz w:val="28"/>
          <w:szCs w:val="28"/>
        </w:rPr>
        <w:t>在微感測</w:t>
      </w:r>
      <w:proofErr w:type="gramEnd"/>
      <w:r>
        <w:rPr>
          <w:rFonts w:ascii="標楷體" w:eastAsia="標楷體" w:hAnsi="標楷體" w:hint="eastAsia"/>
          <w:spacing w:val="-6"/>
          <w:sz w:val="28"/>
          <w:szCs w:val="28"/>
        </w:rPr>
        <w:t>器與致動器領域有豐富經驗的清大教授，在</w:t>
      </w:r>
      <w:proofErr w:type="gramStart"/>
      <w:r>
        <w:rPr>
          <w:rFonts w:ascii="標楷體" w:eastAsia="標楷體" w:hAnsi="標楷體" w:hint="eastAsia"/>
          <w:spacing w:val="-6"/>
          <w:sz w:val="28"/>
          <w:szCs w:val="28"/>
        </w:rPr>
        <w:t>科技部的支持</w:t>
      </w:r>
      <w:proofErr w:type="gramEnd"/>
      <w:r>
        <w:rPr>
          <w:rFonts w:ascii="標楷體" w:eastAsia="標楷體" w:hAnsi="標楷體" w:hint="eastAsia"/>
          <w:spacing w:val="-6"/>
          <w:sz w:val="28"/>
          <w:szCs w:val="28"/>
        </w:rPr>
        <w:t>下推動「</w:t>
      </w:r>
      <w:proofErr w:type="gramStart"/>
      <w:r>
        <w:rPr>
          <w:rFonts w:ascii="標楷體" w:eastAsia="標楷體" w:hAnsi="標楷體" w:hint="eastAsia"/>
          <w:b/>
          <w:bCs/>
          <w:spacing w:val="-6"/>
          <w:sz w:val="28"/>
          <w:szCs w:val="28"/>
        </w:rPr>
        <w:t>微感測</w:t>
      </w:r>
      <w:proofErr w:type="gramEnd"/>
      <w:r>
        <w:rPr>
          <w:rFonts w:ascii="標楷體" w:eastAsia="標楷體" w:hAnsi="標楷體" w:hint="eastAsia"/>
          <w:b/>
          <w:bCs/>
          <w:spacing w:val="-6"/>
          <w:sz w:val="28"/>
          <w:szCs w:val="28"/>
        </w:rPr>
        <w:t>器與致動器產學聯盟</w:t>
      </w:r>
      <w:r>
        <w:rPr>
          <w:rFonts w:ascii="標楷體" w:eastAsia="標楷體" w:hAnsi="標楷體" w:hint="eastAsia"/>
          <w:spacing w:val="-6"/>
          <w:sz w:val="28"/>
          <w:szCs w:val="28"/>
        </w:rPr>
        <w:t>」</w:t>
      </w:r>
      <w:r>
        <w:rPr>
          <w:rFonts w:ascii="標楷體" w:eastAsia="標楷體" w:hAnsi="標楷體" w:hint="eastAsia"/>
          <w:b/>
          <w:bCs/>
          <w:spacing w:val="-6"/>
          <w:sz w:val="28"/>
          <w:szCs w:val="28"/>
        </w:rPr>
        <w:t xml:space="preserve">(Micro Sensors and Actuators Technology Consortium, </w:t>
      </w:r>
      <w:proofErr w:type="spellStart"/>
      <w:r>
        <w:rPr>
          <w:rFonts w:ascii="標楷體" w:eastAsia="標楷體" w:hAnsi="標楷體" w:hint="eastAsia"/>
          <w:b/>
          <w:bCs/>
          <w:spacing w:val="-6"/>
          <w:sz w:val="28"/>
          <w:szCs w:val="28"/>
        </w:rPr>
        <w:t>mSAT</w:t>
      </w:r>
      <w:proofErr w:type="spellEnd"/>
      <w:r>
        <w:rPr>
          <w:rFonts w:ascii="標楷體" w:eastAsia="標楷體" w:hAnsi="標楷體" w:hint="eastAsia"/>
          <w:b/>
          <w:bCs/>
          <w:spacing w:val="-6"/>
          <w:sz w:val="28"/>
          <w:szCs w:val="28"/>
        </w:rPr>
        <w:t>)</w:t>
      </w:r>
      <w:r>
        <w:rPr>
          <w:rFonts w:ascii="標楷體" w:eastAsia="標楷體" w:hAnsi="標楷體" w:hint="eastAsia"/>
          <w:spacing w:val="-6"/>
          <w:sz w:val="28"/>
          <w:szCs w:val="28"/>
        </w:rPr>
        <w:t>，希望透過整合學界與國家實驗室的資源和經驗，協助業界解決相關技術問題、提供設備的支援、技術的轉移、及人才的培育。</w:t>
      </w:r>
      <w:r>
        <w:rPr>
          <w:rFonts w:ascii="標楷體" w:eastAsia="標楷體" w:hAnsi="標楷體" w:hint="eastAsia"/>
          <w:sz w:val="28"/>
          <w:szCs w:val="28"/>
        </w:rPr>
        <w:t>也歡迎微系統上中下游業者，踴躍加入本聯盟，一起努力</w:t>
      </w:r>
      <w:r>
        <w:rPr>
          <w:rFonts w:ascii="標楷體" w:eastAsia="標楷體" w:hAnsi="標楷體" w:hint="eastAsia"/>
          <w:spacing w:val="-6"/>
          <w:sz w:val="28"/>
          <w:szCs w:val="28"/>
        </w:rPr>
        <w:t>提升</w:t>
      </w:r>
      <w:proofErr w:type="gramStart"/>
      <w:r>
        <w:rPr>
          <w:rFonts w:ascii="標楷體" w:eastAsia="標楷體" w:hAnsi="標楷體" w:hint="eastAsia"/>
          <w:spacing w:val="-6"/>
          <w:sz w:val="28"/>
          <w:szCs w:val="28"/>
        </w:rPr>
        <w:t>我國微感測</w:t>
      </w:r>
      <w:proofErr w:type="gramEnd"/>
      <w:r>
        <w:rPr>
          <w:rFonts w:ascii="標楷體" w:eastAsia="標楷體" w:hAnsi="標楷體" w:hint="eastAsia"/>
          <w:spacing w:val="-6"/>
          <w:sz w:val="28"/>
          <w:szCs w:val="28"/>
        </w:rPr>
        <w:t>器與致動器技術水準與國際競爭力。</w:t>
      </w:r>
    </w:p>
    <w:p w:rsidR="007113F9" w:rsidRDefault="007113F9" w:rsidP="007113F9">
      <w:pPr>
        <w:jc w:val="both"/>
        <w:rPr>
          <w:rFonts w:ascii="標楷體" w:eastAsia="標楷體" w:hAnsi="標楷體" w:hint="eastAsia"/>
          <w:spacing w:val="-6"/>
          <w:sz w:val="28"/>
          <w:szCs w:val="28"/>
        </w:rPr>
      </w:pPr>
    </w:p>
    <w:p w:rsidR="007113F9" w:rsidRDefault="007113F9" w:rsidP="007113F9">
      <w:pPr>
        <w:ind w:leftChars="95" w:left="22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近年來國內半導體產業鏈積極</w:t>
      </w:r>
      <w:proofErr w:type="gramStart"/>
      <w:r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因應物聯網</w:t>
      </w:r>
      <w:proofErr w:type="gramEnd"/>
      <w:r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帶來的龐大商機及佈局相關技術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聯盟也透過問卷調查得知會員對人才培訓的需求，因此將陸續安排一些</w:t>
      </w:r>
      <w:r>
        <w:rPr>
          <w:rFonts w:ascii="標楷體" w:eastAsia="標楷體" w:hAnsi="標楷體" w:hint="eastAsia"/>
          <w:b/>
          <w:bCs/>
          <w:color w:val="000000"/>
          <w:spacing w:val="-6"/>
          <w:sz w:val="28"/>
          <w:szCs w:val="28"/>
        </w:rPr>
        <w:t>訓練課程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以便進一步協助國內</w:t>
      </w:r>
      <w:r>
        <w:rPr>
          <w:rFonts w:ascii="標楷體" w:eastAsia="標楷體" w:hAnsi="標楷體" w:hint="eastAsia"/>
          <w:color w:val="000000"/>
          <w:sz w:val="28"/>
          <w:szCs w:val="28"/>
        </w:rPr>
        <w:t>上中下游業者，培養微機電</w:t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和感測器</w:t>
      </w:r>
      <w:r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相關的人才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。如果業界先進有任何</w:t>
      </w:r>
      <w:r>
        <w:rPr>
          <w:rFonts w:ascii="標楷體" w:eastAsia="標楷體" w:hAnsi="標楷體" w:hint="eastAsia"/>
          <w:b/>
          <w:bCs/>
          <w:color w:val="000000"/>
          <w:spacing w:val="-6"/>
          <w:sz w:val="28"/>
          <w:szCs w:val="28"/>
        </w:rPr>
        <w:t>訓練課程</w:t>
      </w:r>
      <w:r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方面的需求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，也歡迎和 </w:t>
      </w:r>
      <w:proofErr w:type="spellStart"/>
      <w:r>
        <w:rPr>
          <w:rFonts w:ascii="標楷體" w:eastAsia="標楷體" w:hAnsi="標楷體" w:hint="eastAsia"/>
          <w:b/>
          <w:bCs/>
          <w:color w:val="000000"/>
          <w:spacing w:val="-6"/>
          <w:sz w:val="28"/>
          <w:szCs w:val="28"/>
        </w:rPr>
        <w:t>mSAT</w:t>
      </w:r>
      <w:proofErr w:type="spellEnd"/>
      <w:r>
        <w:rPr>
          <w:rFonts w:ascii="標楷體" w:eastAsia="標楷體" w:hAnsi="標楷體" w:hint="eastAsia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聯繫</w:t>
      </w:r>
      <w:r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。</w:t>
      </w:r>
    </w:p>
    <w:p w:rsidR="007113F9" w:rsidRDefault="007113F9" w:rsidP="007113F9">
      <w:pPr>
        <w:rPr>
          <w:rFonts w:ascii="標楷體" w:eastAsia="標楷體" w:hAnsi="標楷體" w:hint="eastAsia"/>
          <w:sz w:val="28"/>
          <w:szCs w:val="28"/>
        </w:rPr>
      </w:pPr>
    </w:p>
    <w:p w:rsidR="007113F9" w:rsidRDefault="007113F9" w:rsidP="007113F9">
      <w:pPr>
        <w:numPr>
          <w:ilvl w:val="0"/>
          <w:numId w:val="2"/>
        </w:numPr>
        <w:ind w:leftChars="100" w:left="240"/>
        <w:jc w:val="both"/>
        <w:rPr>
          <w:rFonts w:ascii="標楷體" w:eastAsia="標楷體" w:hAnsi="標楷體" w:hint="eastAsia"/>
          <w:spacing w:val="-6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課程內容</w:t>
      </w:r>
    </w:p>
    <w:tbl>
      <w:tblPr>
        <w:tblW w:w="0" w:type="auto"/>
        <w:tblInd w:w="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529"/>
        <w:gridCol w:w="951"/>
        <w:gridCol w:w="4094"/>
      </w:tblGrid>
      <w:tr w:rsidR="007113F9" w:rsidTr="007113F9"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教師</w:t>
            </w:r>
          </w:p>
        </w:tc>
        <w:tc>
          <w:tcPr>
            <w:tcW w:w="5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7113F9" w:rsidTr="007113F9"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09:30 - 10:00</w:t>
            </w:r>
          </w:p>
        </w:tc>
        <w:tc>
          <w:tcPr>
            <w:tcW w:w="8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Registration(工程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館大門口內)</w:t>
            </w:r>
          </w:p>
        </w:tc>
      </w:tr>
      <w:tr w:rsidR="007113F9" w:rsidTr="007113F9"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10:10 - 12:00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微機電系統簡介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方維倫</w:t>
            </w:r>
          </w:p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講座教授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介紹(1)微機電之重要性與發展；(2)經典的微製程工藝；(3)台灣微機電產業上中下游相關資源。使聯盟成員能夠快速瞭解現有微機電製程種類，及如何尋求相關的資源以利產業之垂直整合。</w:t>
            </w:r>
          </w:p>
        </w:tc>
      </w:tr>
      <w:tr w:rsidR="007113F9" w:rsidTr="007113F9"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12:00 - 13:00</w:t>
            </w:r>
          </w:p>
        </w:tc>
        <w:tc>
          <w:tcPr>
            <w:tcW w:w="8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Lunch</w:t>
            </w:r>
          </w:p>
        </w:tc>
      </w:tr>
      <w:tr w:rsidR="007113F9" w:rsidTr="007113F9"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13:00 - 14:50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傳感原理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簡介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憲</w:t>
            </w:r>
          </w:p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介紹目前主流之微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機電傳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感原理與運作機制，包含(1)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電容傳感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；(2)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熱傳感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；(3)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壓阻感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測。使聯盟成員得以快速瞭解微機電元件運作原理及具備基礎設計能力。</w:t>
            </w:r>
          </w:p>
        </w:tc>
      </w:tr>
      <w:tr w:rsidR="007113F9" w:rsidTr="007113F9"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14:50 - 15:10</w:t>
            </w:r>
          </w:p>
        </w:tc>
        <w:tc>
          <w:tcPr>
            <w:tcW w:w="8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Break</w:t>
            </w:r>
          </w:p>
        </w:tc>
      </w:tr>
      <w:tr w:rsidR="007113F9" w:rsidTr="007113F9"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15:10 - 17:00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微感測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器簡介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盧向成 </w:t>
            </w:r>
          </w:p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介紹主流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之微感測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器元件、系統及其應用。案例說明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包含微加速度計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、壓力計、麥克風、陀螺儀等，期望提供聯盟會員跨界思考的機會與未來佈局之可能方向。</w:t>
            </w:r>
          </w:p>
        </w:tc>
      </w:tr>
      <w:tr w:rsidR="007113F9" w:rsidTr="007113F9"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17:00</w:t>
            </w:r>
          </w:p>
        </w:tc>
        <w:tc>
          <w:tcPr>
            <w:tcW w:w="8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3F9" w:rsidRDefault="007113F9">
            <w:pPr>
              <w:spacing w:line="36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Adjourn</w:t>
            </w:r>
          </w:p>
        </w:tc>
      </w:tr>
    </w:tbl>
    <w:p w:rsidR="007113F9" w:rsidRDefault="007113F9" w:rsidP="007113F9">
      <w:pPr>
        <w:rPr>
          <w:rFonts w:ascii="標楷體" w:eastAsia="標楷體" w:hAnsi="標楷體" w:hint="eastAsia"/>
          <w:sz w:val="28"/>
          <w:szCs w:val="28"/>
        </w:rPr>
      </w:pPr>
    </w:p>
    <w:p w:rsidR="007113F9" w:rsidRDefault="007113F9" w:rsidP="007113F9">
      <w:pPr>
        <w:numPr>
          <w:ilvl w:val="0"/>
          <w:numId w:val="3"/>
        </w:numPr>
        <w:spacing w:line="3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對微系統</w:t>
      </w:r>
      <w:proofErr w:type="gramEnd"/>
      <w:r>
        <w:rPr>
          <w:rFonts w:ascii="標楷體" w:eastAsia="標楷體" w:hAnsi="標楷體" w:hint="eastAsia"/>
          <w:sz w:val="28"/>
          <w:szCs w:val="28"/>
        </w:rPr>
        <w:t>領域有興趣之業界及學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>界人士</w:t>
      </w:r>
    </w:p>
    <w:p w:rsidR="007113F9" w:rsidRDefault="007113F9" w:rsidP="007113F9">
      <w:pPr>
        <w:numPr>
          <w:ilvl w:val="0"/>
          <w:numId w:val="3"/>
        </w:numPr>
        <w:spacing w:line="3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    名：備有講義及便當，請務必於2017/12/27 前報名，報名網址</w:t>
      </w:r>
      <w:hyperlink r:id="rId5" w:history="1">
        <w:r>
          <w:rPr>
            <w:rStyle w:val="a3"/>
            <w:rFonts w:ascii="標楷體" w:eastAsia="標楷體" w:hAnsi="標楷體" w:hint="eastAsia"/>
            <w:b/>
            <w:bCs/>
            <w:sz w:val="28"/>
            <w:szCs w:val="28"/>
            <w:u w:val="none"/>
          </w:rPr>
          <w:t>http://goo.gl/forms/eXDKpVbX9o</w:t>
        </w:r>
      </w:hyperlink>
    </w:p>
    <w:p w:rsidR="007113F9" w:rsidRDefault="007113F9" w:rsidP="007113F9">
      <w:pPr>
        <w:numPr>
          <w:ilvl w:val="0"/>
          <w:numId w:val="4"/>
        </w:numPr>
        <w:spacing w:line="3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費    用：會員公司同仁一律免費，非會員公司每人NTD 1500元</w:t>
      </w:r>
    </w:p>
    <w:p w:rsidR="007113F9" w:rsidRDefault="007113F9" w:rsidP="007113F9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(非會員課程費用請於2018/1/2當日繳交現金，課程結束後郵寄收據)</w:t>
      </w:r>
    </w:p>
    <w:p w:rsidR="007113F9" w:rsidRDefault="007113F9" w:rsidP="007113F9">
      <w:pPr>
        <w:numPr>
          <w:ilvl w:val="0"/>
          <w:numId w:val="4"/>
        </w:numPr>
        <w:spacing w:line="3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聯絡方式：林金慧 小姐      國立清華大學動機系  </w:t>
      </w:r>
      <w:r>
        <w:rPr>
          <w:rFonts w:ascii="標楷體" w:eastAsia="標楷體" w:hAnsi="標楷體" w:hint="eastAsia"/>
          <w:sz w:val="28"/>
          <w:szCs w:val="28"/>
        </w:rPr>
        <w:br/>
        <w:t xml:space="preserve">Email: </w:t>
      </w:r>
      <w:hyperlink r:id="rId6" w:history="1">
        <w:r>
          <w:rPr>
            <w:rStyle w:val="a3"/>
            <w:rFonts w:ascii="標楷體" w:eastAsia="標楷體" w:hAnsi="標楷體" w:hint="eastAsia"/>
            <w:sz w:val="28"/>
            <w:szCs w:val="28"/>
          </w:rPr>
          <w:t>ch.lin@mx.nthu.edu.tw</w:t>
        </w:r>
      </w:hyperlink>
      <w:r>
        <w:rPr>
          <w:rFonts w:ascii="標楷體" w:eastAsia="標楷體" w:hAnsi="標楷體" w:hint="eastAsia"/>
          <w:sz w:val="28"/>
          <w:szCs w:val="28"/>
        </w:rPr>
        <w:t>  電話: (03) 574-2494</w:t>
      </w:r>
    </w:p>
    <w:p w:rsidR="007113F9" w:rsidRDefault="007113F9" w:rsidP="007113F9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方維倫 講座教授  國立清華大學動機系  </w:t>
      </w:r>
    </w:p>
    <w:p w:rsidR="007113F9" w:rsidRDefault="007113F9" w:rsidP="007113F9">
      <w:pPr>
        <w:spacing w:line="300" w:lineRule="exact"/>
        <w:rPr>
          <w:rFonts w:ascii="標楷體" w:eastAsia="標楷體" w:hAnsi="標楷體" w:hint="eastAsia"/>
          <w:sz w:val="28"/>
          <w:szCs w:val="28"/>
          <w:lang w:val="fr-FR"/>
        </w:rPr>
      </w:pPr>
      <w:r>
        <w:rPr>
          <w:rFonts w:ascii="標楷體" w:eastAsia="標楷體" w:hAnsi="標楷體" w:hint="eastAsia"/>
          <w:sz w:val="28"/>
          <w:szCs w:val="28"/>
          <w:lang w:val="fr-FR"/>
        </w:rPr>
        <w:t xml:space="preserve">Email: </w:t>
      </w:r>
      <w:hyperlink r:id="rId7" w:history="1">
        <w:r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  <w:lang w:val="fr-FR"/>
          </w:rPr>
          <w:t>fang@pme.nthu.edu.tw</w:t>
        </w:r>
      </w:hyperlink>
      <w:r>
        <w:rPr>
          <w:rFonts w:ascii="標楷體" w:eastAsia="標楷體" w:hAnsi="標楷體" w:hint="eastAsia"/>
          <w:sz w:val="28"/>
          <w:szCs w:val="28"/>
          <w:lang w:val="fr-FR"/>
        </w:rPr>
        <w:t xml:space="preserve">  </w:t>
      </w:r>
      <w:r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  <w:lang w:val="fr-FR"/>
        </w:rPr>
        <w:t xml:space="preserve">: (03) 574-2923 </w:t>
      </w:r>
    </w:p>
    <w:p w:rsidR="007113F9" w:rsidRDefault="007113F9" w:rsidP="007113F9">
      <w:pPr>
        <w:spacing w:line="240" w:lineRule="exact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7113F9" w:rsidRDefault="007113F9" w:rsidP="007113F9">
      <w:pPr>
        <w:spacing w:line="28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>
        <w:rPr>
          <w:rFonts w:ascii="標楷體" w:eastAsia="標楷體" w:hAnsi="標楷體" w:hint="eastAsia"/>
          <w:b/>
          <w:bCs/>
          <w:spacing w:val="-6"/>
          <w:sz w:val="28"/>
          <w:szCs w:val="28"/>
        </w:rPr>
        <w:t>國立清華大學</w:t>
      </w:r>
      <w:r>
        <w:rPr>
          <w:rFonts w:ascii="標楷體" w:eastAsia="標楷體" w:hAnsi="標楷體" w:hint="eastAsia"/>
          <w:spacing w:val="-6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b/>
          <w:bCs/>
          <w:spacing w:val="-6"/>
          <w:sz w:val="28"/>
          <w:szCs w:val="28"/>
        </w:rPr>
        <w:t>微感測</w:t>
      </w:r>
      <w:proofErr w:type="gramEnd"/>
      <w:r>
        <w:rPr>
          <w:rFonts w:ascii="標楷體" w:eastAsia="標楷體" w:hAnsi="標楷體" w:hint="eastAsia"/>
          <w:b/>
          <w:bCs/>
          <w:spacing w:val="-6"/>
          <w:sz w:val="28"/>
          <w:szCs w:val="28"/>
        </w:rPr>
        <w:t>器與致動器產學聯盟</w:t>
      </w:r>
      <w:r>
        <w:rPr>
          <w:rFonts w:ascii="標楷體" w:eastAsia="標楷體" w:hAnsi="標楷體" w:hint="eastAsia"/>
          <w:spacing w:val="-6"/>
          <w:sz w:val="28"/>
          <w:szCs w:val="28"/>
        </w:rPr>
        <w:t>」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(網址： </w:t>
      </w:r>
      <w:hyperlink r:id="rId8" w:history="1">
        <w:r>
          <w:rPr>
            <w:rStyle w:val="a3"/>
            <w:rFonts w:ascii="標楷體" w:eastAsia="標楷體" w:hAnsi="標楷體" w:hint="eastAsia"/>
            <w:b/>
            <w:bCs/>
            <w:color w:val="auto"/>
            <w:sz w:val="28"/>
            <w:szCs w:val="28"/>
          </w:rPr>
          <w:t>http://www.usat.org.tw/</w:t>
        </w:r>
      </w:hyperlink>
      <w:r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:rsidR="007113F9" w:rsidRDefault="007113F9" w:rsidP="007113F9">
      <w:pPr>
        <w:spacing w:line="280" w:lineRule="exact"/>
        <w:ind w:firstLine="1542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>
        <w:rPr>
          <w:rStyle w:val="a4"/>
          <w:rFonts w:ascii="標楷體" w:eastAsia="標楷體" w:hAnsi="標楷體" w:hint="eastAsia"/>
          <w:sz w:val="28"/>
          <w:szCs w:val="28"/>
        </w:rPr>
        <w:t xml:space="preserve">SEMI Taiwan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(網址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hyperlink r:id="rId9" w:history="1">
        <w:r>
          <w:rPr>
            <w:rStyle w:val="a3"/>
            <w:rFonts w:ascii="標楷體" w:eastAsia="標楷體" w:hAnsi="標楷體" w:hint="eastAsia"/>
            <w:b/>
            <w:bCs/>
            <w:color w:val="000000"/>
            <w:sz w:val="28"/>
            <w:szCs w:val="28"/>
          </w:rPr>
          <w:t>http://www.semi.org/ch/</w:t>
        </w:r>
      </w:hyperlink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</w:p>
    <w:p w:rsidR="007113F9" w:rsidRDefault="007113F9" w:rsidP="007113F9">
      <w:pPr>
        <w:spacing w:line="280" w:lineRule="exact"/>
        <w:ind w:firstLine="1401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 xml:space="preserve">科技部    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(網址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hyperlink r:id="rId10" w:history="1">
        <w:r>
          <w:rPr>
            <w:rStyle w:val="a3"/>
            <w:rFonts w:ascii="標楷體" w:eastAsia="標楷體" w:hAnsi="標楷體" w:hint="eastAsia"/>
            <w:b/>
            <w:bCs/>
            <w:sz w:val="28"/>
            <w:szCs w:val="28"/>
          </w:rPr>
          <w:t>https://www.most.gov.tw/</w:t>
        </w:r>
      </w:hyperlink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</w:p>
    <w:p w:rsidR="007113F9" w:rsidRDefault="007113F9" w:rsidP="007113F9">
      <w:pPr>
        <w:spacing w:line="280" w:lineRule="exact"/>
        <w:ind w:firstLine="1542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7113F9" w:rsidRDefault="007113F9" w:rsidP="007113F9">
      <w:pPr>
        <w:spacing w:line="320" w:lineRule="atLeast"/>
        <w:rPr>
          <w:rFonts w:hint="eastAsia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協辦單位：</w:t>
      </w:r>
      <w:r>
        <w:rPr>
          <w:rStyle w:val="a4"/>
          <w:rFonts w:ascii="標楷體" w:eastAsia="標楷體" w:hAnsi="標楷體" w:hint="eastAsia"/>
          <w:sz w:val="28"/>
          <w:szCs w:val="28"/>
        </w:rPr>
        <w:t>國立清華大學動力機械工程學系、國立清華大學</w:t>
      </w:r>
      <w:proofErr w:type="gramStart"/>
      <w:r>
        <w:rPr>
          <w:rStyle w:val="a4"/>
          <w:rFonts w:ascii="標楷體" w:eastAsia="標楷體" w:hAnsi="標楷體" w:hint="eastAsia"/>
          <w:sz w:val="28"/>
          <w:szCs w:val="28"/>
        </w:rPr>
        <w:t>奈微所</w:t>
      </w:r>
      <w:proofErr w:type="gramEnd"/>
      <w:r>
        <w:rPr>
          <w:rStyle w:val="a4"/>
          <w:rFonts w:ascii="標楷體" w:eastAsia="標楷體" w:hAnsi="標楷體" w:hint="eastAsia"/>
          <w:sz w:val="28"/>
          <w:szCs w:val="28"/>
        </w:rPr>
        <w:t>、</w:t>
      </w:r>
      <w:r>
        <w:rPr>
          <w:rStyle w:val="a4"/>
          <w:rFonts w:ascii="標楷體" w:eastAsia="標楷體" w:hAnsi="標楷體" w:hint="eastAsia"/>
          <w:color w:val="000000"/>
          <w:sz w:val="28"/>
          <w:szCs w:val="28"/>
        </w:rPr>
        <w:t>國</w:t>
      </w:r>
      <w:proofErr w:type="gramStart"/>
      <w:r>
        <w:rPr>
          <w:rStyle w:val="a4"/>
          <w:rFonts w:ascii="標楷體" w:eastAsia="標楷體" w:hAnsi="標楷體" w:hint="eastAsia"/>
          <w:color w:val="000000"/>
          <w:sz w:val="28"/>
          <w:szCs w:val="28"/>
        </w:rPr>
        <w:t>研</w:t>
      </w:r>
      <w:proofErr w:type="gramEnd"/>
      <w:r>
        <w:rPr>
          <w:rStyle w:val="a4"/>
          <w:rFonts w:ascii="標楷體" w:eastAsia="標楷體" w:hAnsi="標楷體" w:hint="eastAsia"/>
          <w:color w:val="000000"/>
          <w:sz w:val="28"/>
          <w:szCs w:val="28"/>
        </w:rPr>
        <w:t>院國家奈米元件實驗室、</w:t>
      </w:r>
      <w:r>
        <w:rPr>
          <w:rStyle w:val="a4"/>
          <w:rFonts w:ascii="標楷體" w:eastAsia="標楷體" w:hAnsi="標楷體" w:hint="eastAsia"/>
          <w:sz w:val="28"/>
          <w:szCs w:val="28"/>
        </w:rPr>
        <w:t>國立清華大學工學院產學</w:t>
      </w:r>
      <w:proofErr w:type="gramStart"/>
      <w:r>
        <w:rPr>
          <w:rStyle w:val="a4"/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Style w:val="a4"/>
          <w:rFonts w:ascii="標楷體" w:eastAsia="標楷體" w:hAnsi="標楷體" w:hint="eastAsia"/>
          <w:sz w:val="28"/>
          <w:szCs w:val="28"/>
        </w:rPr>
        <w:t>合作聯盟</w:t>
      </w:r>
    </w:p>
    <w:p w:rsidR="00E038A6" w:rsidRPr="007113F9" w:rsidRDefault="007113F9"/>
    <w:sectPr w:rsidR="00E038A6" w:rsidRPr="007113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37A7"/>
    <w:multiLevelType w:val="singleLevel"/>
    <w:tmpl w:val="8BD86AFE"/>
    <w:lvl w:ilvl="0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2"/>
      </w:rPr>
    </w:lvl>
  </w:abstractNum>
  <w:abstractNum w:abstractNumId="1" w15:restartNumberingAfterBreak="0">
    <w:nsid w:val="24B97531"/>
    <w:multiLevelType w:val="hybridMultilevel"/>
    <w:tmpl w:val="BD4A3B7A"/>
    <w:lvl w:ilvl="0" w:tplc="3C88BAE6">
      <w:start w:val="1"/>
      <w:numFmt w:val="bullet"/>
      <w:lvlText w:val="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804FB6"/>
    <w:multiLevelType w:val="singleLevel"/>
    <w:tmpl w:val="8BD86AFE"/>
    <w:lvl w:ilvl="0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2"/>
      </w:rPr>
    </w:lvl>
  </w:abstractNum>
  <w:abstractNum w:abstractNumId="3" w15:restartNumberingAfterBreak="0">
    <w:nsid w:val="6FFA28A0"/>
    <w:multiLevelType w:val="singleLevel"/>
    <w:tmpl w:val="8BD86AFE"/>
    <w:lvl w:ilvl="0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2"/>
      </w:rPr>
    </w:lvl>
  </w:abstractNum>
  <w:num w:numId="1">
    <w:abstractNumId w:val="0"/>
    <w:lvlOverride w:ilv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</w:num>
  <w:num w:numId="4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F9"/>
    <w:rsid w:val="000961B9"/>
    <w:rsid w:val="00146AA8"/>
    <w:rsid w:val="00205F21"/>
    <w:rsid w:val="002C1238"/>
    <w:rsid w:val="003063D1"/>
    <w:rsid w:val="00393AFC"/>
    <w:rsid w:val="00416927"/>
    <w:rsid w:val="004729F0"/>
    <w:rsid w:val="00477B2F"/>
    <w:rsid w:val="005F2428"/>
    <w:rsid w:val="007113F9"/>
    <w:rsid w:val="00761A1F"/>
    <w:rsid w:val="0088199A"/>
    <w:rsid w:val="00A34086"/>
    <w:rsid w:val="00CB426E"/>
    <w:rsid w:val="00FB38D8"/>
    <w:rsid w:val="00FD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8826F-3D29-4738-BDF1-33ABD9B9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3F9"/>
    <w:rPr>
      <w:rFonts w:ascii="Times New Roman" w:eastAsia="新細明體" w:hAnsi="Times New Roman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3F9"/>
    <w:rPr>
      <w:color w:val="0000FF"/>
      <w:u w:val="single"/>
    </w:rPr>
  </w:style>
  <w:style w:type="character" w:styleId="a4">
    <w:name w:val="Strong"/>
    <w:basedOn w:val="a0"/>
    <w:uiPriority w:val="99"/>
    <w:qFormat/>
    <w:rsid w:val="007113F9"/>
    <w:rPr>
      <w:rFonts w:ascii="Times New Roman" w:hAnsi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t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ng@pme.nth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.lin@mx.nthu.edu.t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oo.gl/forms/eXDKpVbX9o%20%20%20" TargetMode="External"/><Relationship Id="rId10" Type="http://schemas.openxmlformats.org/officeDocument/2006/relationships/hyperlink" Target="https://www.most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i.org/ch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Wang</dc:creator>
  <cp:keywords/>
  <dc:description/>
  <cp:lastModifiedBy>Leo Wang</cp:lastModifiedBy>
  <cp:revision>1</cp:revision>
  <dcterms:created xsi:type="dcterms:W3CDTF">2017-12-18T01:10:00Z</dcterms:created>
  <dcterms:modified xsi:type="dcterms:W3CDTF">2017-12-18T01:11:00Z</dcterms:modified>
</cp:coreProperties>
</file>